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F6" w:rsidRPr="001F4CF6" w:rsidRDefault="001F4CF6" w:rsidP="001F4CF6">
      <w:pPr>
        <w:spacing w:after="0" w:line="390" w:lineRule="atLeast"/>
        <w:jc w:val="center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inherit" w:eastAsia="Times New Roman" w:hAnsi="inherit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Как жить супругам, если один из них неверующий?</w:t>
      </w:r>
    </w:p>
    <w:tbl>
      <w:tblPr>
        <w:tblpPr w:leftFromText="45" w:rightFromText="45" w:bottomFromText="390" w:vertAnchor="text"/>
        <w:tblW w:w="118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5"/>
      </w:tblGrid>
      <w:tr w:rsidR="001F4CF6" w:rsidRPr="001F4CF6" w:rsidTr="001F4CF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390" w:type="dxa"/>
              <w:bottom w:w="0" w:type="dxa"/>
              <w:right w:w="390" w:type="dxa"/>
            </w:tcMar>
            <w:vAlign w:val="bottom"/>
            <w:hideMark/>
          </w:tcPr>
          <w:p w:rsidR="001F4CF6" w:rsidRPr="001F4CF6" w:rsidRDefault="001F4CF6" w:rsidP="001F4CF6">
            <w:pPr>
              <w:spacing w:after="0" w:line="765" w:lineRule="atLeast"/>
              <w:rPr>
                <w:rFonts w:ascii="inherit" w:eastAsia="Times New Roman" w:hAnsi="inherit" w:cs="Helvetica"/>
                <w:color w:val="323232"/>
                <w:sz w:val="24"/>
                <w:szCs w:val="24"/>
                <w:lang w:eastAsia="ru-RU"/>
              </w:rPr>
            </w:pPr>
            <w:r w:rsidRPr="001F4CF6">
              <w:rPr>
                <w:rFonts w:ascii="inherit" w:eastAsia="Times New Roman" w:hAnsi="inherit" w:cs="Helvetica"/>
                <w:noProof/>
                <w:color w:val="323232"/>
                <w:sz w:val="24"/>
                <w:szCs w:val="24"/>
                <w:lang w:eastAsia="ru-RU"/>
              </w:rPr>
              <w:drawing>
                <wp:inline distT="0" distB="0" distL="0" distR="0" wp14:anchorId="15942E56" wp14:editId="70C2533C">
                  <wp:extent cx="2092325" cy="2860040"/>
                  <wp:effectExtent l="0" t="0" r="3175" b="0"/>
                  <wp:docPr id="1" name="Рисунок 1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Отправной точкой всех рассуждений должно быть Священное Писание Нового Завета. Именно здесь мы находим исчерпывающее и лаконичное утверждение: А вступившим в брак не я повелеваю, а Господь: жене не разводиться с мужем, — если же разведется, то должна оставаться безбрачною, или примириться с мужем своим, — и мужу не оставлять жены своей.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Прочим же не я говорю, а Господь: если какой брат имеет жену неверующую, она согласна жить с ним, то он не должен оставлять ее; и жена, которая имеет мужа неверующего, и он согласен жить с нею, не должна оставлять его. Ибо неверующий муж освящается женою верующею, и жена неверующая освящается мужем верующим. Иначе дети ваши были бы нечисты, а теперь святы. Если же неверующий хочет развестись, пусть разводится; брат или сестра в таких случаях не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связаны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; к миру призвал нас Господь. Почему ты знаешь, жена, не спасешь ли мужа? Или ты, муж, почему знаешь, не спасешь ли жены? Только каждый поступай так, как Бог ему определил, и каждый, как Господь призвал. Так я повелеваю по всем церквам (1 Кор. 7, 10—17).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Эти слова апостола Павла как нельзя лучше характеризуют подход Православной Церкви к проблеме семей, в которых кто-то из супругов является неверующим. Такой брак — возможен! Но как возможен? Как вести себя мужу или жене, если другой не приемлет его веры?..</w:t>
      </w:r>
    </w:p>
    <w:p w:rsidR="001F4CF6" w:rsidRPr="001F4CF6" w:rsidRDefault="001F4CF6" w:rsidP="001F4CF6">
      <w:pPr>
        <w:spacing w:after="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Бог обращается к каждому из людей. Он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С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ам говорит: Се, стою у двери и стучу: если кто услышит голос Мой и отворит дверь, войду к нему, и буду вечерять с </w:t>
      </w: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lastRenderedPageBreak/>
        <w:t xml:space="preserve">ним, и он со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Мно</w:t>
      </w:r>
      <w:hyperlink r:id="rId6" w:history="1">
        <w:r w:rsidRPr="001F4CF6">
          <w:rPr>
            <w:rFonts w:ascii="inherit" w:eastAsia="Times New Roman" w:hAnsi="inherit" w:cs="Helvetica"/>
            <w:color w:val="0D3D9B"/>
            <w:sz w:val="24"/>
            <w:szCs w:val="24"/>
            <w:bdr w:val="none" w:sz="0" w:space="0" w:color="auto" w:frame="1"/>
            <w:lang w:eastAsia="ru-RU"/>
          </w:rPr>
          <w:t>ю</w:t>
        </w:r>
        <w:proofErr w:type="gramEnd"/>
      </w:hyperlink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(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Откр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. 3, 20). Бог, через стечение обстоятельств, через скорби, болезни стучится в сердце каждого из людей. Наша задача — услышать, понять, что это именно Бог обращается к нам. И тогда рождается вера.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Но если вера, как следствие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слышания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, чувствования Бога родилась у тебя, это не значит, что вера родилась в ком-то из близких тебе людей. Хорошо, если в семье есть взаимопонимание и уважение к интересам и внутренней жизни друг друга. Тогда верующий супруг может молиться, соблюдать посты и церковные праздники, ходить в храм и читать церковную литературу.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Страшно, когда кто-то из супругов претендует на авторитарное правление. Тогда жизнь «второй половины» жестко регламентируется. Храм, посты, молитвы запрещаются. Зато разрешаются насмешки и издевательства.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Я много раз видел слезы женщин, которым мужья запрещают ходить в храм. Видел и смущение мужчин, жены которых презрительно третируют мужа за его «фанатизм» и «старушечью богомольность».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Что делать им, людям, внутренняя жизнь которых распланирована за них?.. И как сосуществовать людям, душевно близким, но далеким духовно?..</w:t>
      </w:r>
    </w:p>
    <w:p w:rsidR="001F4CF6" w:rsidRPr="001F4CF6" w:rsidRDefault="001F4CF6" w:rsidP="001F4CF6">
      <w:pPr>
        <w:spacing w:after="0" w:line="390" w:lineRule="atLeast"/>
        <w:jc w:val="center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inherit" w:eastAsia="Times New Roman" w:hAnsi="inherit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Брак в понимании православной церкви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 библейском рассказе о сотворении мира описание каждого дня священный автор заканчивает словами и увидел Бог, что это хорошо. Те же слова звучат и после творения человека. Однако во второй главе, когда говорится о сотворении жены, основание этому заключается в словах: Не хорошо быть человеку одному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… П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отому что человек не должен быть одиноким. И далее Господь продолжает: «…сотворим ему помощника, соответственного ему» (Быт. 2, 18). Еврейское слово, переведенное у нас как «соответственного», вернее было бы перевести как «восполняющего». Таким образом, существование женщины необходимо было для восполнения бытия Адама (мужчины).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Далее Библия в коротких, но емких словах говорит о том, что входящие в тайну супружества становятся одним существом: оставит человек отца и мать свою и прилепится к жене своей; и будут одна плоть (Быт. 2, 24). «Плоть» (по-еврейски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басар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) означает некое целокупное существо, с едиными мыслями, чувствами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… К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ак в Святой Троице Три Лица (Отец, Сын, Святой Дух) являются Единым Богом, так и в супружестве две личности — одна плоть, одно существо.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lastRenderedPageBreak/>
        <w:t>«Когда муж и жена соединяются в браке, они не являются образом чего-то неодушевленного или чего-то земного, но образом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С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амого Бога», — пишет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свт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. Иоанн Златоуст (Беседа 26 на 1 Кор. 2).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Отныне только вдвоем должны идти по жизни мужчина и женщина, соединившие себя узами брака, и этот брак никогда не закончится, он даже перейдет в вечность. Любовь никогда не перестает, хотя и пророчества прекратятся, и языки умолкнут, и знание упразднится (1 Кор. 13, 8).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Благословение Церкви на это вечное соединение двух совершенно различных людей в одно существо происходит в Таинстве Венчания. В самые первые века христианской истории брак был тесно связан с Евхаристией. Вообще, брак заключался по языческим обычаям (например, при свидетельстве двух людей и в присутствии римского консула или просто в римском суде), и, собственно, христианское Таинство состояло в том, что молодые люди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исповедывали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свое желание жить совместно перед христианской общиной в присутствии епископа. После этого они совместно причащались, и их брак считался заключенным.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Существующий сегодня обряд Таинства сложился около VIII века, хотя его отдельные элементы имеют гораздо более древнюю датировку. Каждый из элементов Таинства, каждое действие венчания несут на себе глубокую смысловую нагрузку.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Два слова скажем об основных обрядах Таинства. Одним из древнейших, еще дохристианских, обрядов является традиция обручения. Вообще, круг, кольцо — символ вечности. Кольцо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обручающихся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— это символ обещания хранить верность и любовь вечно. Кольцо — также знак внимательности и готовности дарить. Что или, вернее, кого нужно дарить в браке? Самого себя!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Возложение Венцов на сочетающихся браком — также очень древний обряд.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На Западе (о чем сообщает Тертуллиан) уже в середине II века на </w:t>
      </w:r>
      <w:proofErr w:type="spellStart"/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врачующихся</w:t>
      </w:r>
      <w:proofErr w:type="spellEnd"/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возлагали расшитое покрывало, символизирующее «девство и чистоту» жениха и невесты. Святитель Иоанн Златоуст писал: «возлагаем венцы… в знак победы над сладострастием». У святителя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Мефодия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Патарского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в его знаменитом «Пире десяти дев» описывается небесное торжество девственниц. Причем, как отмечают специалисты, очень многие образы взяты им из практики Таинства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брака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его времени. «Вот, — говорит святитель Мефодий, — наше торжество, </w:t>
      </w: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lastRenderedPageBreak/>
        <w:t xml:space="preserve">прекрасные девственницы! Вот награда за чистый подвиг целомудрия. Обручаюсь Слову и приемлю в дар вечный венец нетления; возложив венец на главу, украшаюсь светлыми и неувядающими цветами мудрости. Обхожу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со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Христом, воздающим награду на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небеси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, окрест безначального и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бессмертнаго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Царя, становлюсь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свещеносицею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неприступных светов и воспеваю новую песнь с ликом ангелов». Здесь святитель Мефодий подчеркивает роль венцов в аспекте торжества, радости, но, прежде всего, венец — это награда за сохраненное </w:t>
      </w:r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для</w:t>
      </w:r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другого целомудрие.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proofErr w:type="spellStart"/>
      <w:proofErr w:type="gram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Врачующимся</w:t>
      </w:r>
      <w:proofErr w:type="spellEnd"/>
      <w:proofErr w:type="gram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подается общая чаша вина, которую они по очереди пьют. В древности, когда Таинство венчания было соединено с Таинством Евхаристии, общая чаша была Евхаристической. Молодожены вместе причащались, что очень точно выражало их жизненную установку: вместе идти по путям духовного совершенства, призвать в свои спутники по супружеской жизни Христа. Сегодня, когда венчание отделено от Евхаристии, общая чаша лишь символическое напоминание о чаше жизни, которую супруги отныне будут пить вместе. Молодожены трижды обходят вокруг аналоя, на котором лежит Евангелие. Впереди них идет священник, неся в правой руке крест, левой рукой священник скрепляет руки молодоженов. По согласному толкованию святых отцов, сей путь изображает, что отныне жизнь этих людей будет (должна быть) шествием за Христом.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Часто, к сожалению, даже венчавшись, люди уходят в мир и продолжают жить без Бога, тогда как Церковь призывает к иному. Она призывает всю свою жизнь превратить в горение (свечи в руках), в </w:t>
      </w:r>
      <w:proofErr w:type="spellStart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предстояние</w:t>
      </w:r>
      <w:proofErr w:type="spellEnd"/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 xml:space="preserve"> (брачующиеся стоят), в шествие за Христом.</w:t>
      </w:r>
    </w:p>
    <w:p w:rsidR="001F4CF6" w:rsidRPr="001F4CF6" w:rsidRDefault="001F4CF6" w:rsidP="001F4CF6">
      <w:pPr>
        <w:spacing w:after="390" w:line="39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1F4CF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Священник Константин Пархоменко</w:t>
      </w:r>
    </w:p>
    <w:p w:rsidR="0048191D" w:rsidRPr="001F4CF6" w:rsidRDefault="00B54961" w:rsidP="001F4CF6">
      <w:bookmarkStart w:id="0" w:name="_GoBack"/>
      <w:bookmarkEnd w:id="0"/>
      <w:r w:rsidRPr="001F4CF6">
        <w:t xml:space="preserve"> </w:t>
      </w:r>
    </w:p>
    <w:sectPr w:rsidR="0048191D" w:rsidRPr="001F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0"/>
    <w:rsid w:val="001F4CF6"/>
    <w:rsid w:val="0048191D"/>
    <w:rsid w:val="00546D7A"/>
    <w:rsid w:val="005C1E90"/>
    <w:rsid w:val="00B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zhurnal.ru/Preobrazhenie/Semya/kak-zhyt-suprugam-esli-odin-iz-nih-neveruyushchi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2017-04-28T14:58:00Z</dcterms:created>
  <dcterms:modified xsi:type="dcterms:W3CDTF">2017-04-28T15:22:00Z</dcterms:modified>
</cp:coreProperties>
</file>